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6A3B0263" w:rsidR="00A34D1E" w:rsidRDefault="0024493A">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A7420A">
              <w:rPr>
                <w:rFonts w:ascii="Arial" w:eastAsia="Arial" w:hAnsi="Arial" w:cs="Arial"/>
                <w:color w:val="0070C0"/>
                <w:sz w:val="24"/>
              </w:rPr>
              <w:t>5</w:t>
            </w:r>
            <w:r w:rsidR="00674EF0">
              <w:rPr>
                <w:rFonts w:ascii="Arial" w:eastAsia="Arial" w:hAnsi="Arial" w:cs="Arial"/>
                <w:color w:val="0070C0"/>
                <w:sz w:val="24"/>
              </w:rPr>
              <w:t>-</w:t>
            </w:r>
            <w:r>
              <w:rPr>
                <w:rFonts w:ascii="Arial" w:eastAsia="Arial" w:hAnsi="Arial" w:cs="Arial"/>
                <w:color w:val="0070C0"/>
                <w:sz w:val="24"/>
              </w:rPr>
              <w:t>SUPPLY</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0FD2E22E" w:rsidR="00A34D1E" w:rsidRDefault="00A7420A">
            <w:pPr>
              <w:spacing w:after="0" w:line="276" w:lineRule="auto"/>
              <w:ind w:left="0" w:right="0" w:firstLine="0"/>
              <w:jc w:val="left"/>
            </w:pPr>
            <w:r>
              <w:rPr>
                <w:rFonts w:ascii="Arial" w:eastAsia="Arial" w:hAnsi="Arial" w:cs="Arial"/>
                <w:color w:val="0070C0"/>
                <w:sz w:val="24"/>
              </w:rPr>
              <w:t>15</w:t>
            </w:r>
            <w:r w:rsidR="0024493A">
              <w:rPr>
                <w:rFonts w:ascii="Arial" w:eastAsia="Arial" w:hAnsi="Arial" w:cs="Arial"/>
                <w:color w:val="0070C0"/>
                <w:sz w:val="24"/>
              </w:rPr>
              <w:t>-</w:t>
            </w:r>
            <w:r>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C67B250" w:rsidR="00A34D1E" w:rsidRDefault="00A7420A">
            <w:pPr>
              <w:spacing w:after="0" w:line="276" w:lineRule="auto"/>
              <w:ind w:left="0" w:right="0" w:firstLine="0"/>
              <w:jc w:val="left"/>
            </w:pPr>
            <w:r>
              <w:rPr>
                <w:rFonts w:ascii="Arial" w:eastAsia="Arial" w:hAnsi="Arial" w:cs="Arial"/>
                <w:color w:val="0070C0"/>
                <w:sz w:val="24"/>
              </w:rPr>
              <w:t>19</w:t>
            </w:r>
            <w:r w:rsidR="0024493A">
              <w:rPr>
                <w:rFonts w:ascii="Arial" w:eastAsia="Arial" w:hAnsi="Arial" w:cs="Arial"/>
                <w:color w:val="0070C0"/>
                <w:sz w:val="24"/>
              </w:rPr>
              <w:t>-</w:t>
            </w:r>
            <w:r>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586B09B1" w:rsidR="00A34D1E" w:rsidRDefault="00A7420A">
            <w:pPr>
              <w:spacing w:after="0" w:line="276" w:lineRule="auto"/>
              <w:ind w:left="0" w:right="0" w:firstLine="0"/>
              <w:jc w:val="left"/>
            </w:pPr>
            <w:r>
              <w:rPr>
                <w:rFonts w:ascii="Arial" w:eastAsia="Arial" w:hAnsi="Arial" w:cs="Arial"/>
                <w:color w:val="0070C0"/>
                <w:sz w:val="24"/>
              </w:rPr>
              <w:t>20</w:t>
            </w:r>
            <w:r w:rsidR="0024493A">
              <w:rPr>
                <w:rFonts w:ascii="Arial" w:eastAsia="Arial" w:hAnsi="Arial" w:cs="Arial"/>
                <w:color w:val="0070C0"/>
                <w:sz w:val="24"/>
              </w:rPr>
              <w:t>-</w:t>
            </w:r>
            <w:r>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79F02081" w:rsidR="00A34D1E" w:rsidRDefault="00891A26">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A7420A">
              <w:rPr>
                <w:rFonts w:ascii="Arial" w:eastAsia="Arial" w:hAnsi="Arial" w:cs="Arial"/>
                <w:color w:val="0070C0"/>
                <w:sz w:val="24"/>
              </w:rPr>
              <w:t>5</w:t>
            </w:r>
            <w:r w:rsidR="00674EF0">
              <w:rPr>
                <w:rFonts w:ascii="Arial" w:eastAsia="Arial" w:hAnsi="Arial" w:cs="Arial"/>
                <w:color w:val="0070C0"/>
                <w:sz w:val="24"/>
              </w:rPr>
              <w:t>-</w:t>
            </w:r>
            <w:r>
              <w:rPr>
                <w:rFonts w:ascii="Arial" w:eastAsia="Arial" w:hAnsi="Arial" w:cs="Arial"/>
                <w:color w:val="0070C0"/>
                <w:sz w:val="24"/>
              </w:rPr>
              <w:t>SUPPL</w:t>
            </w:r>
            <w:r w:rsidR="004E5BFB">
              <w:rPr>
                <w:rFonts w:ascii="Arial" w:eastAsia="Arial" w:hAnsi="Arial" w:cs="Arial"/>
                <w:color w:val="0070C0"/>
                <w:sz w:val="24"/>
              </w:rPr>
              <w:t>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7CCA4763" w:rsidR="00A34D1E" w:rsidRDefault="00A7420A">
            <w:pPr>
              <w:spacing w:after="0" w:line="276" w:lineRule="auto"/>
              <w:ind w:left="0" w:right="0" w:firstLine="0"/>
              <w:jc w:val="left"/>
            </w:pPr>
            <w:r>
              <w:rPr>
                <w:rFonts w:ascii="Arial" w:eastAsia="Arial" w:hAnsi="Arial" w:cs="Arial"/>
                <w:color w:val="0070C0"/>
                <w:sz w:val="24"/>
              </w:rPr>
              <w:t>15</w:t>
            </w:r>
            <w:r w:rsidR="0024493A">
              <w:rPr>
                <w:rFonts w:ascii="Arial" w:eastAsia="Arial" w:hAnsi="Arial" w:cs="Arial"/>
                <w:color w:val="0070C0"/>
                <w:sz w:val="24"/>
              </w:rPr>
              <w:t>-</w:t>
            </w:r>
            <w:r>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57DF05F2" w14:textId="522573F7" w:rsidR="00AC0F80" w:rsidRDefault="00AC0F80">
      <w:pPr>
        <w:ind w:right="299"/>
        <w:rPr>
          <w:color w:val="0000FF"/>
          <w:u w:val="single" w:color="0000FF"/>
        </w:rPr>
      </w:pPr>
      <w:hyperlink r:id="rId9" w:history="1">
        <w:r w:rsidRPr="00F21965">
          <w:rPr>
            <w:rStyle w:val="Hyperlink"/>
          </w:rPr>
          <w:t>flyarianaquotationbox@gmail.com</w:t>
        </w:r>
      </w:hyperlink>
    </w:p>
    <w:p w14:paraId="0C9EEF27" w14:textId="2F8D3961"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0AF72F9D" w:rsidR="00A34D1E" w:rsidRDefault="0024493A">
      <w:pPr>
        <w:numPr>
          <w:ilvl w:val="0"/>
          <w:numId w:val="1"/>
        </w:numPr>
        <w:ind w:hanging="360"/>
      </w:pPr>
      <w:r>
        <w:t xml:space="preserve">The quotation shall be completed and signed by an </w:t>
      </w:r>
      <w:r w:rsidR="00AC0F80">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B37297" w:rsidRPr="00B37297" w14:paraId="24AF6E5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53E25A8"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34047973"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 15BB7DD-3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C377EEA" w:rsidR="00B37297" w:rsidRPr="00B37297" w:rsidRDefault="00B37297" w:rsidP="00B37297">
            <w:pPr>
              <w:spacing w:after="0" w:line="276" w:lineRule="auto"/>
              <w:ind w:left="61"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680CAB86" w:rsidR="00B37297" w:rsidRPr="00B37297" w:rsidRDefault="00B37297" w:rsidP="00B37297">
            <w:pPr>
              <w:spacing w:after="0" w:line="276" w:lineRule="auto"/>
              <w:ind w:left="15" w:right="0" w:firstLine="0"/>
              <w:jc w:val="center"/>
              <w:rPr>
                <w:bCs/>
              </w:rPr>
            </w:pPr>
            <w:r w:rsidRPr="00B37297">
              <w:rPr>
                <w:rFonts w:ascii="Verdana" w:eastAsia="Verdana" w:hAnsi="Verdana" w:cs="Verdana"/>
                <w:bCs/>
                <w:sz w:val="14"/>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23867AA5"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B37297" w:rsidRPr="00B37297" w:rsidRDefault="00B37297" w:rsidP="00B37297">
            <w:pPr>
              <w:spacing w:after="0" w:line="276" w:lineRule="auto"/>
              <w:ind w:left="0" w:right="0" w:firstLine="0"/>
              <w:jc w:val="center"/>
              <w:rPr>
                <w:bCs/>
              </w:rPr>
            </w:pPr>
          </w:p>
        </w:tc>
      </w:tr>
      <w:tr w:rsidR="00B37297" w:rsidRPr="00B37297" w14:paraId="228ECCF4"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491D2FB0"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3F01D2C9"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shd w:val="clear" w:color="auto" w:fill="FFFFFF"/>
              </w:rPr>
              <w:br/>
              <w:t>P/N: BACR15BB7DD-4</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380F62A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7FBB3E03"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FE2D6D7" w14:textId="3A17EBB2"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B37297" w:rsidRPr="00B37297" w:rsidRDefault="00B37297" w:rsidP="00B37297">
            <w:pPr>
              <w:spacing w:after="0" w:line="276" w:lineRule="auto"/>
              <w:ind w:left="0" w:right="0" w:firstLine="0"/>
              <w:jc w:val="center"/>
              <w:rPr>
                <w:bCs/>
              </w:rPr>
            </w:pPr>
          </w:p>
        </w:tc>
      </w:tr>
      <w:tr w:rsidR="00B37297" w:rsidRPr="00B37297" w14:paraId="79C96EFC" w14:textId="77777777" w:rsidTr="00B37297">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6DC43BC"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08066388"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BACR15BB7DD-5</w:t>
            </w:r>
          </w:p>
        </w:tc>
        <w:tc>
          <w:tcPr>
            <w:tcW w:w="699" w:type="dxa"/>
            <w:tcBorders>
              <w:top w:val="single" w:sz="4" w:space="0" w:color="000000"/>
              <w:left w:val="single" w:sz="4" w:space="0" w:color="000000"/>
              <w:bottom w:val="nil"/>
              <w:right w:val="single" w:sz="4" w:space="0" w:color="000000"/>
            </w:tcBorders>
            <w:vAlign w:val="center"/>
          </w:tcPr>
          <w:p w14:paraId="358EA810" w14:textId="6AA5FD95"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CD22E40" w14:textId="77777777" w:rsidR="00B37297" w:rsidRPr="00B37297" w:rsidRDefault="00B37297" w:rsidP="00B37297">
            <w:pPr>
              <w:spacing w:after="0" w:line="276" w:lineRule="auto"/>
              <w:ind w:left="0" w:right="0" w:firstLine="0"/>
              <w:rPr>
                <w:bCs/>
              </w:rPr>
            </w:pPr>
          </w:p>
        </w:tc>
        <w:tc>
          <w:tcPr>
            <w:tcW w:w="902" w:type="dxa"/>
            <w:tcBorders>
              <w:top w:val="single" w:sz="4" w:space="0" w:color="000000"/>
              <w:left w:val="single" w:sz="4" w:space="0" w:color="000000"/>
              <w:bottom w:val="nil"/>
              <w:right w:val="single" w:sz="4" w:space="0" w:color="000000"/>
            </w:tcBorders>
            <w:vAlign w:val="center"/>
          </w:tcPr>
          <w:p w14:paraId="58FE764D" w14:textId="77777777" w:rsidR="00B37297" w:rsidRDefault="00B37297" w:rsidP="00B37297">
            <w:pPr>
              <w:spacing w:after="0" w:line="276" w:lineRule="auto"/>
              <w:ind w:left="0" w:right="0" w:firstLine="0"/>
              <w:jc w:val="center"/>
              <w:rPr>
                <w:rFonts w:ascii="Verdana" w:eastAsia="Verdana" w:hAnsi="Verdana" w:cs="Verdana"/>
                <w:bCs/>
                <w:sz w:val="14"/>
              </w:rPr>
            </w:pPr>
          </w:p>
          <w:p w14:paraId="66452F2E" w14:textId="3C6710DB"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72FE110"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B37297" w:rsidRPr="00B37297" w:rsidRDefault="00B37297" w:rsidP="00B37297">
            <w:pPr>
              <w:spacing w:after="0" w:line="276" w:lineRule="auto"/>
              <w:ind w:left="0" w:right="0" w:firstLine="0"/>
              <w:jc w:val="center"/>
              <w:rPr>
                <w:bCs/>
              </w:rPr>
            </w:pPr>
          </w:p>
        </w:tc>
      </w:tr>
      <w:tr w:rsidR="00B37297" w:rsidRPr="00B37297" w14:paraId="06343855"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3FB3B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0AAC76FC" w14:textId="19814CA9"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155D545A" w14:textId="238AD806"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3879BA04" w14:textId="7220948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30E20392" w14:textId="539837FA"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69AFC2E4" w14:textId="712382E7"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B37297" w:rsidRPr="00B37297" w:rsidRDefault="00B37297" w:rsidP="00B37297">
            <w:pPr>
              <w:spacing w:after="0" w:line="276" w:lineRule="auto"/>
              <w:ind w:left="0" w:right="0" w:firstLine="0"/>
              <w:jc w:val="center"/>
              <w:rPr>
                <w:bCs/>
              </w:rPr>
            </w:pPr>
          </w:p>
        </w:tc>
      </w:tr>
      <w:tr w:rsidR="00B37297" w:rsidRPr="00B37297" w14:paraId="7BA8CEE2"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D0100D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4</w:t>
            </w:r>
          </w:p>
        </w:tc>
        <w:tc>
          <w:tcPr>
            <w:tcW w:w="3044" w:type="dxa"/>
            <w:tcBorders>
              <w:top w:val="single" w:sz="4" w:space="0" w:color="000000"/>
              <w:left w:val="single" w:sz="4" w:space="0" w:color="000000"/>
              <w:bottom w:val="nil"/>
              <w:right w:val="single" w:sz="4" w:space="0" w:color="000000"/>
            </w:tcBorders>
            <w:vAlign w:val="center"/>
          </w:tcPr>
          <w:p w14:paraId="6C59135C" w14:textId="48056BCC"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BACR15BB7DD-6</w:t>
            </w:r>
          </w:p>
        </w:tc>
        <w:tc>
          <w:tcPr>
            <w:tcW w:w="699" w:type="dxa"/>
            <w:tcBorders>
              <w:top w:val="single" w:sz="4" w:space="0" w:color="000000"/>
              <w:left w:val="single" w:sz="4" w:space="0" w:color="000000"/>
              <w:bottom w:val="nil"/>
              <w:right w:val="single" w:sz="4" w:space="0" w:color="000000"/>
            </w:tcBorders>
            <w:vAlign w:val="center"/>
          </w:tcPr>
          <w:p w14:paraId="3048A875" w14:textId="48443E06"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6E736A0A"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5CB80428" w14:textId="4E6B4F1C"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1A845C8F"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B37297" w:rsidRPr="00B37297" w:rsidRDefault="00B37297" w:rsidP="00B37297">
            <w:pPr>
              <w:spacing w:after="0" w:line="276" w:lineRule="auto"/>
              <w:ind w:left="0" w:right="0" w:firstLine="0"/>
              <w:jc w:val="center"/>
              <w:rPr>
                <w:bCs/>
              </w:rPr>
            </w:pPr>
          </w:p>
        </w:tc>
      </w:tr>
      <w:tr w:rsidR="00B37297" w:rsidRPr="00B37297" w14:paraId="59D8E096" w14:textId="77777777" w:rsidTr="00B37297">
        <w:trPr>
          <w:gridAfter w:val="2"/>
          <w:wAfter w:w="125" w:type="dxa"/>
          <w:trHeight w:val="514"/>
        </w:trPr>
        <w:tc>
          <w:tcPr>
            <w:tcW w:w="466" w:type="dxa"/>
            <w:tcBorders>
              <w:top w:val="nil"/>
              <w:left w:val="single" w:sz="4" w:space="0" w:color="000000"/>
              <w:bottom w:val="single" w:sz="4" w:space="0" w:color="000000"/>
              <w:right w:val="single" w:sz="4" w:space="0" w:color="000000"/>
            </w:tcBorders>
            <w:vAlign w:val="center"/>
          </w:tcPr>
          <w:p w14:paraId="1615A998"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261FE421" w14:textId="4E96DEC2"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307F969D" w14:textId="208E1E6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29C1C999" w14:textId="1A8B309F"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0A5FADC7" w14:textId="11A84E82"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139A71CE" w14:textId="6D1FEFE3"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B37297" w:rsidRPr="00B37297" w:rsidRDefault="00B37297" w:rsidP="00B37297">
            <w:pPr>
              <w:spacing w:after="0" w:line="276" w:lineRule="auto"/>
              <w:ind w:left="0" w:right="0" w:firstLine="0"/>
              <w:jc w:val="center"/>
              <w:rPr>
                <w:bCs/>
              </w:rPr>
            </w:pPr>
          </w:p>
        </w:tc>
      </w:tr>
      <w:tr w:rsidR="00B37297" w:rsidRPr="00B37297" w14:paraId="6A37E296"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5164DF8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5</w:t>
            </w:r>
          </w:p>
        </w:tc>
        <w:tc>
          <w:tcPr>
            <w:tcW w:w="3044" w:type="dxa"/>
            <w:tcBorders>
              <w:top w:val="single" w:sz="4" w:space="0" w:color="000000"/>
              <w:left w:val="single" w:sz="4" w:space="0" w:color="000000"/>
              <w:bottom w:val="nil"/>
              <w:right w:val="single" w:sz="4" w:space="0" w:color="000000"/>
            </w:tcBorders>
            <w:vAlign w:val="center"/>
          </w:tcPr>
          <w:p w14:paraId="7F0BE72B" w14:textId="325B036E"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BACR15BB7DD-7</w:t>
            </w:r>
          </w:p>
        </w:tc>
        <w:tc>
          <w:tcPr>
            <w:tcW w:w="699" w:type="dxa"/>
            <w:tcBorders>
              <w:top w:val="single" w:sz="4" w:space="0" w:color="000000"/>
              <w:left w:val="single" w:sz="4" w:space="0" w:color="000000"/>
              <w:bottom w:val="nil"/>
              <w:right w:val="single" w:sz="4" w:space="0" w:color="000000"/>
            </w:tcBorders>
            <w:vAlign w:val="center"/>
          </w:tcPr>
          <w:p w14:paraId="06B04B25"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43F7AEC"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025B7738" w14:textId="7331ABB4" w:rsidR="00B37297" w:rsidRPr="00B37297" w:rsidRDefault="00B37297" w:rsidP="00B37297">
            <w:pPr>
              <w:spacing w:after="0" w:line="276" w:lineRule="auto"/>
              <w:ind w:left="0"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9F95DC3"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B37297" w:rsidRPr="00B37297" w:rsidRDefault="00B37297" w:rsidP="00B37297">
            <w:pPr>
              <w:spacing w:after="0" w:line="276" w:lineRule="auto"/>
              <w:ind w:left="0" w:right="0" w:firstLine="0"/>
              <w:jc w:val="center"/>
              <w:rPr>
                <w:bCs/>
              </w:rPr>
            </w:pPr>
          </w:p>
        </w:tc>
      </w:tr>
      <w:tr w:rsidR="00B37297" w:rsidRPr="00B37297" w14:paraId="6C03C798"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7CFC9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5D17BE4C" w14:textId="6B5F9777"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72EC5EFB" w14:textId="25E14D1D"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7104C4F5" w14:textId="4F58150C"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5F04DBEB" w14:textId="00D89F28" w:rsidR="00B37297" w:rsidRPr="00B37297" w:rsidRDefault="00B37297" w:rsidP="00B37297">
            <w:pPr>
              <w:spacing w:after="0" w:line="276" w:lineRule="auto"/>
              <w:ind w:left="73"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5875BC62" w14:textId="2F6D40E5"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B37297" w:rsidRPr="00B37297" w:rsidRDefault="00B37297" w:rsidP="00B37297">
            <w:pPr>
              <w:spacing w:after="0" w:line="276" w:lineRule="auto"/>
              <w:ind w:left="54"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B37297" w:rsidRPr="00B37297" w:rsidRDefault="00B37297" w:rsidP="00B37297">
            <w:pPr>
              <w:spacing w:after="0" w:line="276" w:lineRule="auto"/>
              <w:ind w:left="0" w:right="0" w:firstLine="0"/>
              <w:jc w:val="center"/>
              <w:rPr>
                <w:bCs/>
              </w:rPr>
            </w:pPr>
          </w:p>
        </w:tc>
      </w:tr>
      <w:tr w:rsidR="00B37297" w:rsidRPr="00B37297" w14:paraId="6AA1712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18BD37D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5B239D65"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CLECO-FASTENER (SIZE 3/16)</w:t>
            </w:r>
            <w:r w:rsidRPr="00B37297">
              <w:rPr>
                <w:rFonts w:ascii="Verdana" w:hAnsi="Verdana"/>
                <w:bCs/>
                <w:sz w:val="14"/>
                <w:szCs w:val="14"/>
              </w:rPr>
              <w:br/>
            </w:r>
            <w:r w:rsidRPr="00B37297">
              <w:rPr>
                <w:rFonts w:ascii="Verdana" w:hAnsi="Verdana"/>
                <w:bCs/>
                <w:sz w:val="14"/>
                <w:szCs w:val="14"/>
                <w:shd w:val="clear" w:color="auto" w:fill="FFFFFF"/>
              </w:rPr>
              <w:t>P/N: 20-404HD</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2E13B80E"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4588AF9D"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5856DC3" w14:textId="347DA7B9" w:rsidR="00B37297" w:rsidRPr="00B37297" w:rsidRDefault="00B37297" w:rsidP="00B37297">
            <w:pPr>
              <w:spacing w:after="0" w:line="276" w:lineRule="auto"/>
              <w:ind w:left="73"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B37297" w:rsidRPr="00B37297" w:rsidRDefault="00B37297" w:rsidP="00B37297">
            <w:pPr>
              <w:spacing w:after="0" w:line="276" w:lineRule="auto"/>
              <w:ind w:left="0" w:right="0" w:firstLine="0"/>
              <w:jc w:val="center"/>
              <w:rPr>
                <w:bCs/>
              </w:rPr>
            </w:pPr>
          </w:p>
        </w:tc>
      </w:tr>
      <w:tr w:rsidR="00A977A3" w:rsidRPr="00B37297" w14:paraId="1F0A75C1"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709E14C5"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2D3708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BACR15BB7D-3</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7B8FB86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53A17A51"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7A559B6" w14:textId="5EAB1631" w:rsidR="0024493A" w:rsidRPr="00B37297" w:rsidRDefault="00B37297" w:rsidP="00B37297">
            <w:pPr>
              <w:spacing w:after="0" w:line="276" w:lineRule="auto"/>
              <w:ind w:left="73"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24493A" w:rsidRPr="00B37297" w:rsidRDefault="0024493A" w:rsidP="00B37297">
            <w:pPr>
              <w:spacing w:after="0" w:line="276" w:lineRule="auto"/>
              <w:ind w:left="0" w:right="0" w:firstLine="0"/>
              <w:jc w:val="center"/>
              <w:rPr>
                <w:bCs/>
              </w:rPr>
            </w:pPr>
          </w:p>
        </w:tc>
      </w:tr>
      <w:tr w:rsidR="00A977A3" w:rsidRPr="00B37297" w14:paraId="2B88DC69" w14:textId="77777777" w:rsidTr="00B37297">
        <w:trPr>
          <w:gridAfter w:val="2"/>
          <w:wAfter w:w="125" w:type="dxa"/>
          <w:trHeight w:val="803"/>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101DAF2C"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0C76FD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BACR15BB7D-4</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7CA3E77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DD5D82A"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1D867470" w14:textId="647F472A" w:rsidR="0024493A" w:rsidRPr="00B37297" w:rsidRDefault="00B37297" w:rsidP="00B37297">
            <w:pPr>
              <w:spacing w:after="0" w:line="276" w:lineRule="auto"/>
              <w:ind w:left="0"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24493A" w:rsidRPr="00B37297" w:rsidRDefault="0024493A" w:rsidP="00B37297">
            <w:pPr>
              <w:spacing w:after="0" w:line="276" w:lineRule="auto"/>
              <w:ind w:left="0" w:right="0" w:firstLine="0"/>
              <w:jc w:val="center"/>
              <w:rPr>
                <w:bCs/>
              </w:rPr>
            </w:pPr>
          </w:p>
        </w:tc>
      </w:tr>
      <w:tr w:rsidR="00B37297" w:rsidRPr="00B37297" w14:paraId="0E2686AE"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6FD2B166" w:rsidR="00B37297" w:rsidRPr="00B37297" w:rsidRDefault="00B37297" w:rsidP="00B37297">
            <w:pPr>
              <w:spacing w:after="21" w:line="240" w:lineRule="auto"/>
              <w:ind w:left="0" w:right="0" w:firstLine="0"/>
              <w:jc w:val="center"/>
              <w:rPr>
                <w:bCs/>
              </w:rPr>
            </w:pPr>
            <w:r w:rsidRPr="00B37297">
              <w:rPr>
                <w:rFonts w:ascii="Verdana" w:eastAsia="Verdana" w:hAnsi="Verdana" w:cs="Verdana"/>
                <w:bCs/>
                <w:sz w:val="14"/>
              </w:rPr>
              <w:t>9</w:t>
            </w:r>
          </w:p>
          <w:p w14:paraId="0CFE4FF8" w14:textId="23E5B7AE" w:rsidR="00B37297" w:rsidRPr="00B37297" w:rsidRDefault="00B37297" w:rsidP="00B37297">
            <w:pPr>
              <w:spacing w:after="0" w:line="276" w:lineRule="auto"/>
              <w:ind w:left="0" w:right="0" w:firstLine="0"/>
              <w:jc w:val="center"/>
              <w:rPr>
                <w:bCs/>
              </w:rPr>
            </w:pPr>
          </w:p>
        </w:tc>
        <w:tc>
          <w:tcPr>
            <w:tcW w:w="3044" w:type="dxa"/>
            <w:tcBorders>
              <w:top w:val="single" w:sz="4" w:space="0" w:color="000000"/>
              <w:left w:val="single" w:sz="4" w:space="0" w:color="000000"/>
              <w:bottom w:val="single" w:sz="4" w:space="0" w:color="000000"/>
              <w:right w:val="single" w:sz="4" w:space="0" w:color="000000"/>
            </w:tcBorders>
            <w:vAlign w:val="center"/>
          </w:tcPr>
          <w:p w14:paraId="157D3ED3" w14:textId="141C735A"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BACR15BB7D-5</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23B07C0B"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00EC96B6"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A9D26B4" w14:textId="26989CBE"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B37297" w:rsidRPr="00B37297" w:rsidRDefault="00B37297" w:rsidP="00B37297">
            <w:pPr>
              <w:spacing w:after="0" w:line="276" w:lineRule="auto"/>
              <w:ind w:left="0" w:right="0" w:firstLine="0"/>
              <w:jc w:val="center"/>
              <w:rPr>
                <w:bCs/>
              </w:rPr>
            </w:pPr>
          </w:p>
        </w:tc>
      </w:tr>
      <w:tr w:rsidR="00B37297" w:rsidRPr="00B37297" w14:paraId="7B5B4DC6"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356C9BE9"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1E43597B"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BACR15BB7D-6</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690F9D71"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22A61180"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2C409B2" w14:textId="47C1E5E9"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B37297" w:rsidRPr="00B37297" w:rsidRDefault="00B37297" w:rsidP="00B37297">
            <w:pPr>
              <w:spacing w:after="0" w:line="276" w:lineRule="auto"/>
              <w:ind w:left="0" w:right="0" w:firstLine="0"/>
              <w:jc w:val="center"/>
              <w:rPr>
                <w:bCs/>
              </w:rPr>
            </w:pPr>
          </w:p>
        </w:tc>
      </w:tr>
      <w:tr w:rsidR="00B37297" w:rsidRPr="00B37297" w14:paraId="6A448B42" w14:textId="77777777" w:rsidTr="00B37297">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1D7DF11"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30FEDFB2"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RIVI7</w:t>
            </w:r>
            <w:r w:rsidRPr="00B37297">
              <w:rPr>
                <w:rFonts w:ascii="Verdana" w:hAnsi="Verdana"/>
                <w:bCs/>
                <w:sz w:val="14"/>
                <w:szCs w:val="14"/>
              </w:rPr>
              <w:br/>
            </w:r>
            <w:r w:rsidRPr="00B37297">
              <w:rPr>
                <w:rFonts w:ascii="Verdana" w:hAnsi="Verdana"/>
                <w:bCs/>
                <w:sz w:val="14"/>
                <w:szCs w:val="14"/>
                <w:shd w:val="clear" w:color="auto" w:fill="FFFFFF"/>
              </w:rPr>
              <w:t>P/N: BACR15BB7D-7</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0A62AC68"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4195649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0849805" w14:textId="749E0105"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B37297" w:rsidRPr="00B37297" w:rsidRDefault="00B37297" w:rsidP="00B37297">
            <w:pPr>
              <w:spacing w:after="0" w:line="276" w:lineRule="auto"/>
              <w:ind w:left="0" w:right="0" w:firstLine="0"/>
              <w:jc w:val="center"/>
              <w:rPr>
                <w:bCs/>
              </w:rPr>
            </w:pPr>
          </w:p>
        </w:tc>
      </w:tr>
      <w:tr w:rsidR="002230A3"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230A3" w:rsidRDefault="002230A3" w:rsidP="002230A3">
            <w:pPr>
              <w:spacing w:after="37" w:line="240" w:lineRule="auto"/>
              <w:ind w:left="0" w:right="0" w:firstLine="0"/>
              <w:jc w:val="left"/>
            </w:pPr>
            <w:r>
              <w:rPr>
                <w:rFonts w:ascii="Calibri" w:eastAsia="Calibri" w:hAnsi="Calibri" w:cs="Calibri"/>
                <w:sz w:val="22"/>
              </w:rPr>
              <w:t xml:space="preserve">Most important: </w:t>
            </w:r>
          </w:p>
          <w:p w14:paraId="1E97D839"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230A3" w:rsidRDefault="002230A3" w:rsidP="002230A3">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10"/>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lastRenderedPageBreak/>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64335" w14:textId="77777777" w:rsidR="006D76E2" w:rsidRDefault="006D76E2">
      <w:pPr>
        <w:spacing w:after="0" w:line="240" w:lineRule="auto"/>
      </w:pPr>
      <w:r>
        <w:separator/>
      </w:r>
    </w:p>
  </w:endnote>
  <w:endnote w:type="continuationSeparator" w:id="0">
    <w:p w14:paraId="16714804" w14:textId="77777777" w:rsidR="006D76E2" w:rsidRDefault="006D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27348" w14:textId="77777777" w:rsidR="006D76E2" w:rsidRDefault="006D76E2">
      <w:pPr>
        <w:spacing w:after="0" w:line="240" w:lineRule="auto"/>
      </w:pPr>
      <w:r>
        <w:separator/>
      </w:r>
    </w:p>
  </w:footnote>
  <w:footnote w:type="continuationSeparator" w:id="0">
    <w:p w14:paraId="123AB7D6" w14:textId="77777777" w:rsidR="006D76E2" w:rsidRDefault="006D7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2230A3"/>
    <w:rsid w:val="0024493A"/>
    <w:rsid w:val="00344858"/>
    <w:rsid w:val="00380A77"/>
    <w:rsid w:val="004143D2"/>
    <w:rsid w:val="00451DF5"/>
    <w:rsid w:val="004E5BFB"/>
    <w:rsid w:val="005F5160"/>
    <w:rsid w:val="00664051"/>
    <w:rsid w:val="00674EF0"/>
    <w:rsid w:val="006C14C9"/>
    <w:rsid w:val="006D76E2"/>
    <w:rsid w:val="00766EDB"/>
    <w:rsid w:val="00891A26"/>
    <w:rsid w:val="00950EE4"/>
    <w:rsid w:val="009C16CE"/>
    <w:rsid w:val="009F2BC6"/>
    <w:rsid w:val="00A32A6F"/>
    <w:rsid w:val="00A34D1E"/>
    <w:rsid w:val="00A7420A"/>
    <w:rsid w:val="00A977A3"/>
    <w:rsid w:val="00AC0F80"/>
    <w:rsid w:val="00AE1618"/>
    <w:rsid w:val="00B37297"/>
    <w:rsid w:val="00BA74F1"/>
    <w:rsid w:val="00BE07DC"/>
    <w:rsid w:val="00E17F3A"/>
    <w:rsid w:val="00EA3FFF"/>
    <w:rsid w:val="00F50C2C"/>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AC0F80"/>
    <w:rPr>
      <w:color w:val="0563C1" w:themeColor="hyperlink"/>
      <w:u w:val="single"/>
    </w:rPr>
  </w:style>
  <w:style w:type="character" w:styleId="UnresolvedMention">
    <w:name w:val="Unresolved Mention"/>
    <w:basedOn w:val="DefaultParagraphFont"/>
    <w:uiPriority w:val="99"/>
    <w:semiHidden/>
    <w:unhideWhenUsed/>
    <w:rsid w:val="00AC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13</cp:revision>
  <cp:lastPrinted>2025-10-15T09:55:00Z</cp:lastPrinted>
  <dcterms:created xsi:type="dcterms:W3CDTF">2025-10-08T11:11:00Z</dcterms:created>
  <dcterms:modified xsi:type="dcterms:W3CDTF">2025-12-17T06:29:00Z</dcterms:modified>
</cp:coreProperties>
</file>